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C9" w:rsidRPr="00112AC9" w:rsidRDefault="00112AC9" w:rsidP="00112AC9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AC9">
        <w:rPr>
          <w:rFonts w:ascii="Times New Roman" w:hAnsi="Times New Roman" w:cs="Times New Roman"/>
          <w:b/>
          <w:sz w:val="28"/>
          <w:szCs w:val="28"/>
        </w:rPr>
        <w:t>ЛОМБАРДНАЯ ДЕЯТЕЛЬНОСТЬ</w:t>
      </w:r>
    </w:p>
    <w:p w:rsidR="00112AC9" w:rsidRPr="00112AC9" w:rsidRDefault="00112AC9" w:rsidP="00112AC9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AC9" w:rsidRPr="00112AC9" w:rsidRDefault="00112AC9" w:rsidP="00112AC9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AC9">
        <w:rPr>
          <w:rFonts w:ascii="Times New Roman" w:hAnsi="Times New Roman" w:cs="Times New Roman"/>
          <w:b/>
          <w:sz w:val="28"/>
          <w:szCs w:val="28"/>
        </w:rPr>
        <w:t>С 01.04.2023 года и</w:t>
      </w:r>
      <w:r w:rsidRPr="00112AC9">
        <w:rPr>
          <w:rFonts w:ascii="Times New Roman" w:hAnsi="Times New Roman" w:cs="Times New Roman"/>
          <w:b/>
          <w:sz w:val="28"/>
          <w:szCs w:val="28"/>
        </w:rPr>
        <w:t>зменяются формы отчетов о деятельности ломбарда и о персональном составе руководящих органов ломбарда</w:t>
      </w:r>
    </w:p>
    <w:p w:rsidR="00112AC9" w:rsidRPr="00112AC9" w:rsidRDefault="00112AC9" w:rsidP="00112AC9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AC9">
        <w:rPr>
          <w:rFonts w:ascii="Times New Roman" w:hAnsi="Times New Roman" w:cs="Times New Roman"/>
          <w:sz w:val="28"/>
          <w:szCs w:val="28"/>
        </w:rPr>
        <w:t>Соответствующие изменения внесены в порядки заполнения указанных форм.</w:t>
      </w:r>
    </w:p>
    <w:p w:rsidR="00112AC9" w:rsidRPr="00112AC9" w:rsidRDefault="00112AC9" w:rsidP="00112AC9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12AC9">
        <w:rPr>
          <w:rFonts w:ascii="Times New Roman" w:hAnsi="Times New Roman" w:cs="Times New Roman"/>
          <w:sz w:val="28"/>
          <w:szCs w:val="28"/>
        </w:rPr>
        <w:t>(Указание Банка России от 14.07.2022 N 6200-У)</w:t>
      </w:r>
    </w:p>
    <w:p w:rsidR="00B75D1A" w:rsidRPr="00112AC9" w:rsidRDefault="00112AC9" w:rsidP="00112AC9">
      <w:pPr>
        <w:rPr>
          <w:rFonts w:ascii="Times New Roman" w:hAnsi="Times New Roman" w:cs="Times New Roman"/>
          <w:sz w:val="28"/>
          <w:szCs w:val="28"/>
        </w:rPr>
      </w:pPr>
      <w:r w:rsidRPr="00112A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2AC9">
        <w:rPr>
          <w:rFonts w:ascii="Times New Roman" w:hAnsi="Times New Roman" w:cs="Times New Roman"/>
          <w:sz w:val="28"/>
          <w:szCs w:val="28"/>
        </w:rPr>
        <w:fldChar w:fldCharType="begin"/>
      </w:r>
      <w:r w:rsidRPr="00112AC9">
        <w:rPr>
          <w:rFonts w:ascii="Times New Roman" w:hAnsi="Times New Roman" w:cs="Times New Roman"/>
          <w:sz w:val="28"/>
          <w:szCs w:val="28"/>
        </w:rPr>
        <w:instrText xml:space="preserve"> HYPERLINK "consultantplus://offline/ref=5D083B82F94E78110BC17F21F32BDE29031B9D42C311FA6E3CE8AE376B8E45A2499B32B41FB6FCD5240EB3310B8DD5CE88A482F3E6ACB88AG0JFE" \h </w:instrText>
      </w:r>
      <w:r w:rsidRPr="00112AC9">
        <w:rPr>
          <w:rFonts w:ascii="Times New Roman" w:hAnsi="Times New Roman" w:cs="Times New Roman"/>
          <w:sz w:val="28"/>
          <w:szCs w:val="28"/>
        </w:rPr>
        <w:fldChar w:fldCharType="separate"/>
      </w:r>
      <w:r w:rsidRPr="00112AC9">
        <w:rPr>
          <w:rFonts w:ascii="Times New Roman" w:hAnsi="Times New Roman" w:cs="Times New Roman"/>
          <w:i/>
          <w:sz w:val="28"/>
          <w:szCs w:val="28"/>
        </w:rPr>
        <w:fldChar w:fldCharType="end"/>
      </w:r>
    </w:p>
    <w:sectPr w:rsidR="00B75D1A" w:rsidRPr="0011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E"/>
    <w:rsid w:val="00112AC9"/>
    <w:rsid w:val="006830CE"/>
    <w:rsid w:val="00B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878D8-DE1C-4286-84C1-901A6A37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2023-04-05T08:52:00Z</dcterms:created>
  <dcterms:modified xsi:type="dcterms:W3CDTF">2023-04-05T08:53:00Z</dcterms:modified>
</cp:coreProperties>
</file>